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3BA9A" w14:textId="1518C927" w:rsidR="007348DC" w:rsidRDefault="006B70B6">
      <w:r w:rsidRPr="006B70B6">
        <w:drawing>
          <wp:inline distT="0" distB="0" distL="0" distR="0" wp14:anchorId="72E993F0" wp14:editId="73222A0B">
            <wp:extent cx="5943600" cy="817245"/>
            <wp:effectExtent l="0" t="0" r="0" b="1905"/>
            <wp:docPr id="8710196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019617" name=""/>
                    <pic:cNvPicPr/>
                  </pic:nvPicPr>
                  <pic:blipFill>
                    <a:blip r:embed="rId5"/>
                    <a:stretch>
                      <a:fillRect/>
                    </a:stretch>
                  </pic:blipFill>
                  <pic:spPr>
                    <a:xfrm>
                      <a:off x="0" y="0"/>
                      <a:ext cx="5943600" cy="817245"/>
                    </a:xfrm>
                    <a:prstGeom prst="rect">
                      <a:avLst/>
                    </a:prstGeom>
                  </pic:spPr>
                </pic:pic>
              </a:graphicData>
            </a:graphic>
          </wp:inline>
        </w:drawing>
      </w:r>
    </w:p>
    <w:p w14:paraId="11BA3473" w14:textId="77777777" w:rsidR="006B70B6" w:rsidRDefault="006B70B6"/>
    <w:p w14:paraId="5B41F47E" w14:textId="77777777" w:rsidR="00E41FB7" w:rsidRDefault="006B70B6">
      <w:r>
        <w:t xml:space="preserve">At Pet Passages of Largo we offer both in-home Euthanasia and Euthanasia in the comfort of our Rainbow Bridge Room.  This service is offered in conjunction with our partner vets and is inclusive of our Truly Private Remembrance Package.  This cremation package includes a wood box urn with an engraved name plate, an ink paw and nose print, a blooming heart of remembrance and a cremation certificate.  </w:t>
      </w:r>
      <w:r w:rsidR="00E41FB7">
        <w:t xml:space="preserve">We also include a clay paw print with a birthstone.  </w:t>
      </w:r>
    </w:p>
    <w:p w14:paraId="5280420D" w14:textId="0C4D7AE4" w:rsidR="006B70B6" w:rsidRDefault="006B70B6">
      <w:r>
        <w:t xml:space="preserve">We commit to 3 business days to complete cremation and have your loved one ready to take home.  </w:t>
      </w:r>
    </w:p>
    <w:p w14:paraId="5AF868CA" w14:textId="431CD34C" w:rsidR="006B70B6" w:rsidRDefault="006B70B6">
      <w:r>
        <w:t xml:space="preserve">At Pet Passages, we DO NOT transfer your pet to anyone else for any service.  We have our vets preform the euthanasia and then we do the cremation.  This is so important for chain of custody.  The large </w:t>
      </w:r>
      <w:r w:rsidR="009C09ED">
        <w:t>in-home</w:t>
      </w:r>
      <w:r>
        <w:t xml:space="preserve"> service providers pass the pets off to a large cremation company and then charge an excessive fee for the cremation.  </w:t>
      </w:r>
    </w:p>
    <w:p w14:paraId="47653DA1" w14:textId="6F36B6EF" w:rsidR="006B70B6" w:rsidRDefault="006B70B6">
      <w:r w:rsidRPr="006B70B6">
        <w:drawing>
          <wp:inline distT="0" distB="0" distL="0" distR="0" wp14:anchorId="2114D315" wp14:editId="2B4A951F">
            <wp:extent cx="5943600" cy="195580"/>
            <wp:effectExtent l="0" t="0" r="0" b="0"/>
            <wp:docPr id="6418630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863028" name=""/>
                    <pic:cNvPicPr/>
                  </pic:nvPicPr>
                  <pic:blipFill>
                    <a:blip r:embed="rId6"/>
                    <a:stretch>
                      <a:fillRect/>
                    </a:stretch>
                  </pic:blipFill>
                  <pic:spPr>
                    <a:xfrm>
                      <a:off x="0" y="0"/>
                      <a:ext cx="5943600" cy="195580"/>
                    </a:xfrm>
                    <a:prstGeom prst="rect">
                      <a:avLst/>
                    </a:prstGeom>
                  </pic:spPr>
                </pic:pic>
              </a:graphicData>
            </a:graphic>
          </wp:inline>
        </w:drawing>
      </w:r>
    </w:p>
    <w:tbl>
      <w:tblPr>
        <w:tblStyle w:val="TableGrid"/>
        <w:tblW w:w="0" w:type="auto"/>
        <w:tblLook w:val="04A0" w:firstRow="1" w:lastRow="0" w:firstColumn="1" w:lastColumn="0" w:noHBand="0" w:noVBand="1"/>
      </w:tblPr>
      <w:tblGrid>
        <w:gridCol w:w="1558"/>
        <w:gridCol w:w="1558"/>
        <w:gridCol w:w="1558"/>
        <w:gridCol w:w="1558"/>
        <w:gridCol w:w="2583"/>
      </w:tblGrid>
      <w:tr w:rsidR="00E41FB7" w14:paraId="15F39F4C" w14:textId="77777777" w:rsidTr="00E41FB7">
        <w:tc>
          <w:tcPr>
            <w:tcW w:w="1558" w:type="dxa"/>
          </w:tcPr>
          <w:p w14:paraId="0FE38260" w14:textId="730F5BDE" w:rsidR="00E41FB7" w:rsidRDefault="00E41FB7">
            <w:r>
              <w:t>Size</w:t>
            </w:r>
          </w:p>
        </w:tc>
        <w:tc>
          <w:tcPr>
            <w:tcW w:w="1558" w:type="dxa"/>
          </w:tcPr>
          <w:p w14:paraId="260D445D" w14:textId="00E562CA" w:rsidR="00E41FB7" w:rsidRDefault="00E41FB7">
            <w:r>
              <w:t>Pounds</w:t>
            </w:r>
          </w:p>
        </w:tc>
        <w:tc>
          <w:tcPr>
            <w:tcW w:w="1558" w:type="dxa"/>
          </w:tcPr>
          <w:p w14:paraId="6604730F" w14:textId="1CEC1184" w:rsidR="00E41FB7" w:rsidRDefault="00E41FB7">
            <w:r>
              <w:t>9am – 5pm Mon-Fri</w:t>
            </w:r>
          </w:p>
        </w:tc>
        <w:tc>
          <w:tcPr>
            <w:tcW w:w="1558" w:type="dxa"/>
          </w:tcPr>
          <w:p w14:paraId="53BEE708" w14:textId="1F0B6018" w:rsidR="00E41FB7" w:rsidRDefault="00E41FB7">
            <w:r>
              <w:t>After Hours and Saturday</w:t>
            </w:r>
          </w:p>
        </w:tc>
        <w:tc>
          <w:tcPr>
            <w:tcW w:w="2583" w:type="dxa"/>
          </w:tcPr>
          <w:p w14:paraId="5DB1FCEA" w14:textId="0050241F" w:rsidR="00E41FB7" w:rsidRDefault="00E41FB7">
            <w:r>
              <w:t>Sunday and Holiday</w:t>
            </w:r>
          </w:p>
        </w:tc>
      </w:tr>
      <w:tr w:rsidR="00E41FB7" w14:paraId="3ED0E8BF" w14:textId="77777777" w:rsidTr="00E41FB7">
        <w:tc>
          <w:tcPr>
            <w:tcW w:w="1558" w:type="dxa"/>
          </w:tcPr>
          <w:p w14:paraId="3E32E852" w14:textId="40A9409A" w:rsidR="00E41FB7" w:rsidRDefault="00E41FB7">
            <w:r>
              <w:t>Small</w:t>
            </w:r>
          </w:p>
        </w:tc>
        <w:tc>
          <w:tcPr>
            <w:tcW w:w="1558" w:type="dxa"/>
          </w:tcPr>
          <w:p w14:paraId="42077718" w14:textId="53238FDE" w:rsidR="00E41FB7" w:rsidRDefault="00E41FB7" w:rsidP="009C09ED">
            <w:pPr>
              <w:jc w:val="center"/>
            </w:pPr>
            <w:r>
              <w:t>0 – 20</w:t>
            </w:r>
          </w:p>
        </w:tc>
        <w:tc>
          <w:tcPr>
            <w:tcW w:w="1558" w:type="dxa"/>
          </w:tcPr>
          <w:p w14:paraId="33709D60" w14:textId="60343974" w:rsidR="00E41FB7" w:rsidRDefault="00E41FB7" w:rsidP="009C09ED">
            <w:pPr>
              <w:jc w:val="center"/>
            </w:pPr>
            <w:r>
              <w:t>$650</w:t>
            </w:r>
          </w:p>
        </w:tc>
        <w:tc>
          <w:tcPr>
            <w:tcW w:w="1558" w:type="dxa"/>
          </w:tcPr>
          <w:p w14:paraId="0252348F" w14:textId="33C9C330" w:rsidR="00E41FB7" w:rsidRDefault="00E41FB7" w:rsidP="009C09ED">
            <w:pPr>
              <w:jc w:val="center"/>
            </w:pPr>
            <w:r>
              <w:t>$700</w:t>
            </w:r>
          </w:p>
        </w:tc>
        <w:tc>
          <w:tcPr>
            <w:tcW w:w="2583" w:type="dxa"/>
          </w:tcPr>
          <w:p w14:paraId="26B70CC5" w14:textId="0C965CEF" w:rsidR="00E41FB7" w:rsidRDefault="009C09ED">
            <w:r>
              <w:t>Call for quote</w:t>
            </w:r>
          </w:p>
        </w:tc>
      </w:tr>
      <w:tr w:rsidR="00E41FB7" w14:paraId="111458E2" w14:textId="77777777" w:rsidTr="00E41FB7">
        <w:tc>
          <w:tcPr>
            <w:tcW w:w="1558" w:type="dxa"/>
          </w:tcPr>
          <w:p w14:paraId="6F7DAAE5" w14:textId="03B84CE6" w:rsidR="00E41FB7" w:rsidRDefault="009C09ED">
            <w:r>
              <w:t>Medium</w:t>
            </w:r>
          </w:p>
        </w:tc>
        <w:tc>
          <w:tcPr>
            <w:tcW w:w="1558" w:type="dxa"/>
          </w:tcPr>
          <w:p w14:paraId="43120648" w14:textId="70ABF084" w:rsidR="00E41FB7" w:rsidRDefault="009C09ED" w:rsidP="009C09ED">
            <w:pPr>
              <w:jc w:val="center"/>
            </w:pPr>
            <w:r>
              <w:t>21 – 65</w:t>
            </w:r>
          </w:p>
        </w:tc>
        <w:tc>
          <w:tcPr>
            <w:tcW w:w="1558" w:type="dxa"/>
          </w:tcPr>
          <w:p w14:paraId="2587D1FF" w14:textId="1709417B" w:rsidR="00E41FB7" w:rsidRDefault="009C09ED" w:rsidP="009C09ED">
            <w:pPr>
              <w:jc w:val="center"/>
            </w:pPr>
            <w:r>
              <w:t>$670</w:t>
            </w:r>
          </w:p>
        </w:tc>
        <w:tc>
          <w:tcPr>
            <w:tcW w:w="1558" w:type="dxa"/>
          </w:tcPr>
          <w:p w14:paraId="668FF54E" w14:textId="6469B5C3" w:rsidR="00E41FB7" w:rsidRDefault="009C09ED" w:rsidP="009C09ED">
            <w:pPr>
              <w:jc w:val="center"/>
            </w:pPr>
            <w:r>
              <w:t>$720</w:t>
            </w:r>
          </w:p>
        </w:tc>
        <w:tc>
          <w:tcPr>
            <w:tcW w:w="2583" w:type="dxa"/>
          </w:tcPr>
          <w:p w14:paraId="3BC2B117" w14:textId="694A6ABB" w:rsidR="00E41FB7" w:rsidRDefault="009C09ED">
            <w:r>
              <w:t>Call for quote</w:t>
            </w:r>
          </w:p>
        </w:tc>
      </w:tr>
      <w:tr w:rsidR="00E41FB7" w14:paraId="20E02A49" w14:textId="77777777" w:rsidTr="00E41FB7">
        <w:tc>
          <w:tcPr>
            <w:tcW w:w="1558" w:type="dxa"/>
          </w:tcPr>
          <w:p w14:paraId="54A2A214" w14:textId="5A9D5756" w:rsidR="00E41FB7" w:rsidRDefault="009C09ED">
            <w:r>
              <w:t>Large</w:t>
            </w:r>
          </w:p>
        </w:tc>
        <w:tc>
          <w:tcPr>
            <w:tcW w:w="1558" w:type="dxa"/>
          </w:tcPr>
          <w:p w14:paraId="7E30BA25" w14:textId="1DD81288" w:rsidR="00E41FB7" w:rsidRDefault="009C09ED" w:rsidP="009C09ED">
            <w:pPr>
              <w:jc w:val="center"/>
            </w:pPr>
            <w:r>
              <w:t>66 – 110</w:t>
            </w:r>
          </w:p>
        </w:tc>
        <w:tc>
          <w:tcPr>
            <w:tcW w:w="1558" w:type="dxa"/>
          </w:tcPr>
          <w:p w14:paraId="2E621853" w14:textId="00357A7A" w:rsidR="00E41FB7" w:rsidRDefault="009C09ED" w:rsidP="009C09ED">
            <w:pPr>
              <w:jc w:val="center"/>
            </w:pPr>
            <w:r>
              <w:t>$700</w:t>
            </w:r>
          </w:p>
        </w:tc>
        <w:tc>
          <w:tcPr>
            <w:tcW w:w="1558" w:type="dxa"/>
          </w:tcPr>
          <w:p w14:paraId="044BFDCD" w14:textId="073F46E9" w:rsidR="00E41FB7" w:rsidRDefault="009C09ED" w:rsidP="009C09ED">
            <w:pPr>
              <w:jc w:val="center"/>
            </w:pPr>
            <w:r>
              <w:t>$730</w:t>
            </w:r>
          </w:p>
        </w:tc>
        <w:tc>
          <w:tcPr>
            <w:tcW w:w="2583" w:type="dxa"/>
          </w:tcPr>
          <w:p w14:paraId="7254462F" w14:textId="27C99B52" w:rsidR="00E41FB7" w:rsidRDefault="009C09ED">
            <w:r>
              <w:t>Call for quote</w:t>
            </w:r>
          </w:p>
        </w:tc>
      </w:tr>
      <w:tr w:rsidR="00E41FB7" w14:paraId="3E586A99" w14:textId="77777777" w:rsidTr="00E41FB7">
        <w:tc>
          <w:tcPr>
            <w:tcW w:w="1558" w:type="dxa"/>
          </w:tcPr>
          <w:p w14:paraId="52C2E445" w14:textId="32659332" w:rsidR="00E41FB7" w:rsidRDefault="009C09ED">
            <w:r>
              <w:t>X-Large</w:t>
            </w:r>
          </w:p>
        </w:tc>
        <w:tc>
          <w:tcPr>
            <w:tcW w:w="1558" w:type="dxa"/>
          </w:tcPr>
          <w:p w14:paraId="19BC1C49" w14:textId="12468ED9" w:rsidR="00E41FB7" w:rsidRDefault="009C09ED" w:rsidP="009C09ED">
            <w:pPr>
              <w:jc w:val="center"/>
            </w:pPr>
            <w:r>
              <w:t>111 – 225</w:t>
            </w:r>
          </w:p>
        </w:tc>
        <w:tc>
          <w:tcPr>
            <w:tcW w:w="1558" w:type="dxa"/>
          </w:tcPr>
          <w:p w14:paraId="6095E19A" w14:textId="13C0358B" w:rsidR="00E41FB7" w:rsidRDefault="009C09ED" w:rsidP="009C09ED">
            <w:pPr>
              <w:jc w:val="center"/>
            </w:pPr>
            <w:r>
              <w:t>$750</w:t>
            </w:r>
          </w:p>
        </w:tc>
        <w:tc>
          <w:tcPr>
            <w:tcW w:w="1558" w:type="dxa"/>
          </w:tcPr>
          <w:p w14:paraId="70FCBCEA" w14:textId="2D5804BE" w:rsidR="00E41FB7" w:rsidRDefault="009C09ED" w:rsidP="009C09ED">
            <w:pPr>
              <w:jc w:val="center"/>
            </w:pPr>
            <w:r>
              <w:t>$770</w:t>
            </w:r>
          </w:p>
        </w:tc>
        <w:tc>
          <w:tcPr>
            <w:tcW w:w="2583" w:type="dxa"/>
          </w:tcPr>
          <w:p w14:paraId="2AE85365" w14:textId="01720563" w:rsidR="00E41FB7" w:rsidRDefault="009C09ED">
            <w:r>
              <w:t>Call for quote</w:t>
            </w:r>
          </w:p>
        </w:tc>
      </w:tr>
    </w:tbl>
    <w:p w14:paraId="42BA2FBE" w14:textId="77777777" w:rsidR="006B70B6" w:rsidRDefault="006B70B6"/>
    <w:p w14:paraId="5DD0D05F" w14:textId="3464BAF3" w:rsidR="006B70B6" w:rsidRDefault="009C09ED">
      <w:r>
        <w:t>Please note:</w:t>
      </w:r>
    </w:p>
    <w:p w14:paraId="10354891" w14:textId="5B4C8F9F" w:rsidR="009C09ED" w:rsidRDefault="009C09ED" w:rsidP="009C09ED">
      <w:pPr>
        <w:pStyle w:val="ListParagraph"/>
        <w:numPr>
          <w:ilvl w:val="0"/>
          <w:numId w:val="1"/>
        </w:numPr>
      </w:pPr>
      <w:r>
        <w:t>Please call for an appointment as we need to assure a Vet is available.</w:t>
      </w:r>
    </w:p>
    <w:p w14:paraId="528B7ACF" w14:textId="4E76291D" w:rsidR="009C09ED" w:rsidRDefault="009C09ED" w:rsidP="009C09ED">
      <w:pPr>
        <w:pStyle w:val="ListParagraph"/>
        <w:numPr>
          <w:ilvl w:val="0"/>
          <w:numId w:val="1"/>
        </w:numPr>
      </w:pPr>
      <w:r>
        <w:t>It is generally difficult to do emergency euthanasia’s</w:t>
      </w:r>
    </w:p>
    <w:p w14:paraId="3030DF42" w14:textId="0CE00C1E" w:rsidR="009C09ED" w:rsidRDefault="009C09ED" w:rsidP="009C09ED">
      <w:pPr>
        <w:pStyle w:val="ListParagraph"/>
        <w:numPr>
          <w:ilvl w:val="0"/>
          <w:numId w:val="1"/>
        </w:numPr>
      </w:pPr>
      <w:r>
        <w:t>Availability is limited</w:t>
      </w:r>
    </w:p>
    <w:p w14:paraId="79D604A7" w14:textId="11C34260" w:rsidR="009C09ED" w:rsidRDefault="009C09ED" w:rsidP="009C09ED">
      <w:pPr>
        <w:pStyle w:val="ListParagraph"/>
        <w:numPr>
          <w:ilvl w:val="0"/>
          <w:numId w:val="1"/>
        </w:numPr>
      </w:pPr>
      <w:r>
        <w:t>If Pet Passages cannot schedule a vet, we can assist you with your needs via alternative providers.  This will generally be a vet office where we then provide the cremation services</w:t>
      </w:r>
    </w:p>
    <w:p w14:paraId="570A523D" w14:textId="3F8C7266" w:rsidR="009C09ED" w:rsidRDefault="009C09ED" w:rsidP="009C09ED">
      <w:pPr>
        <w:pStyle w:val="ListParagraph"/>
        <w:numPr>
          <w:ilvl w:val="0"/>
          <w:numId w:val="1"/>
        </w:numPr>
      </w:pPr>
      <w:r>
        <w:t>Pet Passages can provide cremation services for other in-home euthanasia providers</w:t>
      </w:r>
    </w:p>
    <w:sectPr w:rsidR="009C09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B49B2"/>
    <w:multiLevelType w:val="hybridMultilevel"/>
    <w:tmpl w:val="1626312E"/>
    <w:lvl w:ilvl="0" w:tplc="321005C0">
      <w:start w:val="111"/>
      <w:numFmt w:val="bullet"/>
      <w:lvlText w:val="-"/>
      <w:lvlJc w:val="left"/>
      <w:pPr>
        <w:ind w:left="405" w:hanging="360"/>
      </w:pPr>
      <w:rPr>
        <w:rFonts w:ascii="Aptos" w:eastAsiaTheme="minorHAnsi" w:hAnsi="Aptos"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1989550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0B6"/>
    <w:rsid w:val="003D65AC"/>
    <w:rsid w:val="006B70B6"/>
    <w:rsid w:val="007348DC"/>
    <w:rsid w:val="007B7E18"/>
    <w:rsid w:val="009C09ED"/>
    <w:rsid w:val="00E41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E16BA"/>
  <w15:chartTrackingRefBased/>
  <w15:docId w15:val="{574C05EB-DF2E-4758-97AE-63FA8BBC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70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70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70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70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70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70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70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70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70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0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70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70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70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70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70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70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70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70B6"/>
    <w:rPr>
      <w:rFonts w:eastAsiaTheme="majorEastAsia" w:cstheme="majorBidi"/>
      <w:color w:val="272727" w:themeColor="text1" w:themeTint="D8"/>
    </w:rPr>
  </w:style>
  <w:style w:type="paragraph" w:styleId="Title">
    <w:name w:val="Title"/>
    <w:basedOn w:val="Normal"/>
    <w:next w:val="Normal"/>
    <w:link w:val="TitleChar"/>
    <w:uiPriority w:val="10"/>
    <w:qFormat/>
    <w:rsid w:val="006B70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70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70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70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70B6"/>
    <w:pPr>
      <w:spacing w:before="160"/>
      <w:jc w:val="center"/>
    </w:pPr>
    <w:rPr>
      <w:i/>
      <w:iCs/>
      <w:color w:val="404040" w:themeColor="text1" w:themeTint="BF"/>
    </w:rPr>
  </w:style>
  <w:style w:type="character" w:customStyle="1" w:styleId="QuoteChar">
    <w:name w:val="Quote Char"/>
    <w:basedOn w:val="DefaultParagraphFont"/>
    <w:link w:val="Quote"/>
    <w:uiPriority w:val="29"/>
    <w:rsid w:val="006B70B6"/>
    <w:rPr>
      <w:i/>
      <w:iCs/>
      <w:color w:val="404040" w:themeColor="text1" w:themeTint="BF"/>
    </w:rPr>
  </w:style>
  <w:style w:type="paragraph" w:styleId="ListParagraph">
    <w:name w:val="List Paragraph"/>
    <w:basedOn w:val="Normal"/>
    <w:uiPriority w:val="34"/>
    <w:qFormat/>
    <w:rsid w:val="006B70B6"/>
    <w:pPr>
      <w:ind w:left="720"/>
      <w:contextualSpacing/>
    </w:pPr>
  </w:style>
  <w:style w:type="character" w:styleId="IntenseEmphasis">
    <w:name w:val="Intense Emphasis"/>
    <w:basedOn w:val="DefaultParagraphFont"/>
    <w:uiPriority w:val="21"/>
    <w:qFormat/>
    <w:rsid w:val="006B70B6"/>
    <w:rPr>
      <w:i/>
      <w:iCs/>
      <w:color w:val="0F4761" w:themeColor="accent1" w:themeShade="BF"/>
    </w:rPr>
  </w:style>
  <w:style w:type="paragraph" w:styleId="IntenseQuote">
    <w:name w:val="Intense Quote"/>
    <w:basedOn w:val="Normal"/>
    <w:next w:val="Normal"/>
    <w:link w:val="IntenseQuoteChar"/>
    <w:uiPriority w:val="30"/>
    <w:qFormat/>
    <w:rsid w:val="006B70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70B6"/>
    <w:rPr>
      <w:i/>
      <w:iCs/>
      <w:color w:val="0F4761" w:themeColor="accent1" w:themeShade="BF"/>
    </w:rPr>
  </w:style>
  <w:style w:type="character" w:styleId="IntenseReference">
    <w:name w:val="Intense Reference"/>
    <w:basedOn w:val="DefaultParagraphFont"/>
    <w:uiPriority w:val="32"/>
    <w:qFormat/>
    <w:rsid w:val="006B70B6"/>
    <w:rPr>
      <w:b/>
      <w:bCs/>
      <w:smallCaps/>
      <w:color w:val="0F4761" w:themeColor="accent1" w:themeShade="BF"/>
      <w:spacing w:val="5"/>
    </w:rPr>
  </w:style>
  <w:style w:type="table" w:styleId="TableGrid">
    <w:name w:val="Table Grid"/>
    <w:basedOn w:val="TableNormal"/>
    <w:uiPriority w:val="39"/>
    <w:rsid w:val="00E41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barris</dc:creator>
  <cp:keywords/>
  <dc:description/>
  <cp:lastModifiedBy>bob barris</cp:lastModifiedBy>
  <cp:revision>1</cp:revision>
  <dcterms:created xsi:type="dcterms:W3CDTF">2025-07-03T16:24:00Z</dcterms:created>
  <dcterms:modified xsi:type="dcterms:W3CDTF">2025-07-03T19:21:00Z</dcterms:modified>
</cp:coreProperties>
</file>